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Theme="majorEastAsia" w:hAnsiTheme="majorEastAsia" w:eastAsiaTheme="majorEastAsia" w:cstheme="majorEastAsia"/>
          <w:b/>
          <w:bCs/>
          <w:sz w:val="44"/>
          <w:szCs w:val="44"/>
          <w:lang w:val="en-US" w:eastAsia="zh-CN"/>
        </w:rPr>
      </w:pPr>
      <w:r>
        <w:rPr>
          <w:rFonts w:hint="eastAsia" w:ascii="方正小标宋_GBK" w:hAnsi="方正小标宋_GBK" w:eastAsia="方正小标宋_GBK" w:cs="方正小标宋_GBK"/>
          <w:b w:val="0"/>
          <w:bCs w:val="0"/>
          <w:sz w:val="44"/>
          <w:szCs w:val="44"/>
          <w:lang w:val="en-US" w:eastAsia="zh-CN"/>
        </w:rPr>
        <w:t>西夏区综合执法局“谁执法谁普法”四个清单分解表（2024年度）</w:t>
      </w:r>
    </w:p>
    <w:tbl>
      <w:tblPr>
        <w:tblStyle w:val="4"/>
        <w:tblpPr w:leftFromText="180" w:rightFromText="180" w:vertAnchor="page" w:horzAnchor="page" w:tblpX="561" w:tblpY="1908"/>
        <w:tblOverlap w:val="never"/>
        <w:tblW w:w="16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762"/>
        <w:gridCol w:w="1716"/>
        <w:gridCol w:w="4357"/>
        <w:gridCol w:w="3827"/>
        <w:gridCol w:w="22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26" w:type="dxa"/>
            <w:vMerge w:val="restart"/>
            <w:vAlign w:val="center"/>
          </w:tcPr>
          <w:p>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序号</w:t>
            </w:r>
          </w:p>
        </w:tc>
        <w:tc>
          <w:tcPr>
            <w:tcW w:w="1762" w:type="dxa"/>
            <w:vMerge w:val="restart"/>
            <w:vAlign w:val="center"/>
          </w:tcPr>
          <w:p>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cstheme="minorEastAsia"/>
                <w:b/>
                <w:bCs/>
                <w:sz w:val="21"/>
                <w:szCs w:val="21"/>
                <w:vertAlign w:val="baseline"/>
                <w:lang w:val="en-US" w:eastAsia="zh-CN"/>
              </w:rPr>
              <w:t>项目</w:t>
            </w:r>
          </w:p>
        </w:tc>
        <w:tc>
          <w:tcPr>
            <w:tcW w:w="1716" w:type="dxa"/>
            <w:vMerge w:val="restart"/>
            <w:vAlign w:val="center"/>
          </w:tcPr>
          <w:p>
            <w:pPr>
              <w:jc w:val="center"/>
              <w:rPr>
                <w:rFonts w:hint="eastAsia" w:asciiTheme="minorEastAsia" w:hAnsiTheme="minorEastAsia" w:eastAsiaTheme="minorEastAsia" w:cstheme="minorEastAsia"/>
                <w:b/>
                <w:bCs/>
                <w:sz w:val="21"/>
                <w:szCs w:val="21"/>
                <w:vertAlign w:val="baseline"/>
                <w:lang w:val="en-US" w:eastAsia="zh-CN"/>
              </w:rPr>
            </w:pPr>
            <w:r>
              <w:rPr>
                <w:rFonts w:hint="eastAsia" w:asciiTheme="minorEastAsia" w:hAnsiTheme="minorEastAsia" w:eastAsiaTheme="minorEastAsia" w:cstheme="minorEastAsia"/>
                <w:b/>
                <w:bCs/>
                <w:sz w:val="21"/>
                <w:szCs w:val="21"/>
                <w:vertAlign w:val="baseline"/>
                <w:lang w:val="en-US" w:eastAsia="zh-CN"/>
              </w:rPr>
              <w:t>内容清单</w:t>
            </w:r>
          </w:p>
        </w:tc>
        <w:tc>
          <w:tcPr>
            <w:tcW w:w="4357" w:type="dxa"/>
            <w:vMerge w:val="restart"/>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措施清单</w:t>
            </w:r>
          </w:p>
        </w:tc>
        <w:tc>
          <w:tcPr>
            <w:tcW w:w="3827" w:type="dxa"/>
            <w:vMerge w:val="restart"/>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标准清单</w:t>
            </w:r>
          </w:p>
        </w:tc>
        <w:tc>
          <w:tcPr>
            <w:tcW w:w="3730" w:type="dxa"/>
            <w:gridSpan w:val="2"/>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责任</w:t>
            </w:r>
            <w:r>
              <w:rPr>
                <w:rFonts w:hint="eastAsia" w:asciiTheme="minorEastAsia" w:hAnsiTheme="minorEastAsia" w:eastAsiaTheme="minorEastAsia" w:cstheme="minorEastAsia"/>
                <w:b/>
                <w:bCs/>
                <w:sz w:val="21"/>
                <w:szCs w:val="21"/>
                <w:vertAlign w:val="baseline"/>
                <w:lang w:eastAsia="zh-CN"/>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26" w:type="dxa"/>
            <w:vMerge w:val="continue"/>
            <w:vAlign w:val="center"/>
          </w:tcPr>
          <w:p>
            <w:pPr>
              <w:jc w:val="center"/>
              <w:rPr>
                <w:rFonts w:hint="eastAsia" w:asciiTheme="minorEastAsia" w:hAnsiTheme="minorEastAsia" w:eastAsiaTheme="minorEastAsia" w:cstheme="minorEastAsia"/>
                <w:b/>
                <w:bCs/>
                <w:sz w:val="21"/>
                <w:szCs w:val="21"/>
                <w:vertAlign w:val="baseline"/>
              </w:rPr>
            </w:pPr>
          </w:p>
        </w:tc>
        <w:tc>
          <w:tcPr>
            <w:tcW w:w="1762" w:type="dxa"/>
            <w:vMerge w:val="continue"/>
            <w:vAlign w:val="center"/>
          </w:tcPr>
          <w:p>
            <w:pPr>
              <w:jc w:val="center"/>
              <w:rPr>
                <w:rFonts w:hint="eastAsia" w:asciiTheme="minorEastAsia" w:hAnsiTheme="minorEastAsia" w:eastAsiaTheme="minorEastAsia" w:cstheme="minorEastAsia"/>
                <w:b/>
                <w:bCs/>
                <w:sz w:val="21"/>
                <w:szCs w:val="21"/>
                <w:vertAlign w:val="baseline"/>
              </w:rPr>
            </w:pPr>
          </w:p>
        </w:tc>
        <w:tc>
          <w:tcPr>
            <w:tcW w:w="1716" w:type="dxa"/>
            <w:vMerge w:val="continue"/>
            <w:vAlign w:val="center"/>
          </w:tcPr>
          <w:p>
            <w:pPr>
              <w:jc w:val="center"/>
              <w:rPr>
                <w:rFonts w:hint="eastAsia" w:asciiTheme="minorEastAsia" w:hAnsiTheme="minorEastAsia" w:eastAsiaTheme="minorEastAsia" w:cstheme="minorEastAsia"/>
                <w:b/>
                <w:bCs/>
                <w:sz w:val="21"/>
                <w:szCs w:val="21"/>
                <w:vertAlign w:val="baseline"/>
              </w:rPr>
            </w:pPr>
          </w:p>
        </w:tc>
        <w:tc>
          <w:tcPr>
            <w:tcW w:w="4357" w:type="dxa"/>
            <w:vMerge w:val="continue"/>
            <w:vAlign w:val="center"/>
          </w:tcPr>
          <w:p>
            <w:pPr>
              <w:jc w:val="center"/>
              <w:rPr>
                <w:rFonts w:hint="eastAsia" w:asciiTheme="minorEastAsia" w:hAnsiTheme="minorEastAsia" w:eastAsiaTheme="minorEastAsia" w:cstheme="minorEastAsia"/>
                <w:b/>
                <w:bCs/>
                <w:sz w:val="21"/>
                <w:szCs w:val="21"/>
                <w:vertAlign w:val="baseline"/>
                <w:lang w:eastAsia="zh-CN"/>
              </w:rPr>
            </w:pPr>
          </w:p>
        </w:tc>
        <w:tc>
          <w:tcPr>
            <w:tcW w:w="3827" w:type="dxa"/>
            <w:vMerge w:val="continue"/>
            <w:vAlign w:val="center"/>
          </w:tcPr>
          <w:p>
            <w:pPr>
              <w:jc w:val="center"/>
              <w:rPr>
                <w:rFonts w:hint="eastAsia" w:asciiTheme="minorEastAsia" w:hAnsiTheme="minorEastAsia" w:eastAsiaTheme="minorEastAsia" w:cstheme="minorEastAsia"/>
                <w:b/>
                <w:bCs/>
                <w:sz w:val="21"/>
                <w:szCs w:val="21"/>
                <w:vertAlign w:val="baseline"/>
                <w:lang w:eastAsia="zh-CN"/>
              </w:rPr>
            </w:pPr>
          </w:p>
        </w:tc>
        <w:tc>
          <w:tcPr>
            <w:tcW w:w="2215" w:type="dxa"/>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cstheme="minorEastAsia"/>
                <w:b/>
                <w:bCs/>
                <w:sz w:val="21"/>
                <w:szCs w:val="21"/>
                <w:vertAlign w:val="baseline"/>
                <w:lang w:eastAsia="zh-CN"/>
              </w:rPr>
              <w:t>普法责任主体</w:t>
            </w:r>
          </w:p>
        </w:tc>
        <w:tc>
          <w:tcPr>
            <w:tcW w:w="1515" w:type="dxa"/>
            <w:vAlign w:val="center"/>
          </w:tcPr>
          <w:p>
            <w:pPr>
              <w:jc w:val="center"/>
              <w:rPr>
                <w:rFonts w:hint="eastAsia" w:asciiTheme="minorEastAsia" w:hAnsiTheme="minorEastAsia" w:eastAsiaTheme="minorEastAsia" w:cstheme="minorEastAsia"/>
                <w:b/>
                <w:bCs/>
                <w:sz w:val="21"/>
                <w:szCs w:val="21"/>
                <w:vertAlign w:val="baseline"/>
                <w:lang w:eastAsia="zh-CN"/>
              </w:rPr>
            </w:pPr>
            <w:r>
              <w:rPr>
                <w:rFonts w:hint="eastAsia" w:asciiTheme="minorEastAsia" w:hAnsiTheme="minorEastAsia" w:eastAsiaTheme="minorEastAsia" w:cstheme="minorEastAsia"/>
                <w:b/>
                <w:bCs/>
                <w:sz w:val="21"/>
                <w:szCs w:val="21"/>
                <w:vertAlign w:val="baseline"/>
                <w:lang w:eastAsia="zh-CN"/>
              </w:rPr>
              <w:t>普法</w:t>
            </w:r>
            <w:r>
              <w:rPr>
                <w:rFonts w:hint="eastAsia" w:asciiTheme="minorEastAsia" w:hAnsiTheme="minorEastAsia" w:cstheme="minorEastAsia"/>
                <w:b/>
                <w:bCs/>
                <w:sz w:val="21"/>
                <w:szCs w:val="21"/>
                <w:vertAlign w:val="baseline"/>
                <w:lang w:eastAsia="zh-CN"/>
              </w:rPr>
              <w:t>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习近平法治思想</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lang w:eastAsia="zh-CN"/>
              </w:rPr>
              <w:t>习近平法治思想</w:t>
            </w: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1.将习近平法治思想列入党组理论学习中心组、党员学习内容，通过专题会议等形式，深入开展习近平法治思想学习活动。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2.制定学习培训计划，创新方式方法，通过会前学法，运用“学习强国”、法宣在线等平台，组织开展学习培训。</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1.将学习宣传习近平法治思想纳入普法工作全局，与执法工作同部署、同落实。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2.深刻认识习近平法治思想重大意义，吃透基本精神、把握核心要义、明确工作要求，在学懂弄通做实上下功夫，在学思悟贯通、知信行合一上见实效。</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3</w:t>
            </w:r>
            <w:r>
              <w:rPr>
                <w:rFonts w:hint="eastAsia" w:ascii="仿宋_GB2312" w:hAnsi="仿宋_GB2312" w:eastAsia="仿宋_GB2312" w:cs="仿宋_GB2312"/>
                <w:b w:val="0"/>
                <w:bCs w:val="0"/>
                <w:sz w:val="21"/>
                <w:szCs w:val="21"/>
                <w:vertAlign w:val="baseline"/>
                <w:lang w:eastAsia="zh-CN"/>
              </w:rPr>
              <w:t>.通过学习宣传阐释工作，增强“四个意识”、坚定“四个自信”、做到“两个维护”。</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各科、室、队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党的二十大精神</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党的二十大精神</w:t>
            </w: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1.将党的二十大精神列入党组理论学习中心组、党员学习内容，通过专题会议等形式，深入开展党的二十大精神学习活动。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2.制定学习培训计划，通过集中学法、会前学法、领导干部述法讲法，运用“学习强国”、法宣在线等平台，组织开展党的二十大精神学习。</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1.将学习宣传党的二十大精神纳入普法工作全局，与执法工作同部署、同落实。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2.将思想和行动统一到党的二十大精神上来，完整、准确、全面领会党的二十大精神。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r>
              <w:rPr>
                <w:rFonts w:hint="eastAsia" w:ascii="仿宋_GB2312" w:hAnsi="仿宋_GB2312" w:eastAsia="仿宋_GB2312" w:cs="仿宋_GB2312"/>
                <w:b w:val="0"/>
                <w:bCs w:val="0"/>
                <w:sz w:val="21"/>
                <w:szCs w:val="21"/>
                <w:vertAlign w:val="baseline"/>
                <w:lang w:eastAsia="zh-CN"/>
              </w:rPr>
              <w:t>.通过学习宣传阐释工作，提高执法人员政治判断力、政治领悟力、政治执行力，切实将思想和行动统一到党的二十大精神上来。</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各科、室、队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宪法</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《宪法》等相关法律法规</w:t>
            </w: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结合“12.4”国家宪法日，开展“宪法宣传周”活动，广泛开展宪法学习宣传教育。</w:t>
            </w:r>
          </w:p>
        </w:tc>
        <w:tc>
          <w:tcPr>
            <w:tcW w:w="38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1.推动执法人员带头尊崇宪法、学习宪法、遵守宪法、维护宪法、运用宪法，提升党员领导干部运用法治思维和法治方式解决执法难题。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both"/>
              <w:textAlignment w:val="auto"/>
              <w:outlineLvl w:val="9"/>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kern w:val="2"/>
                <w:sz w:val="21"/>
                <w:szCs w:val="21"/>
                <w:vertAlign w:val="baseline"/>
                <w:lang w:val="en-US" w:eastAsia="zh-CN" w:bidi="ar-SA"/>
              </w:rPr>
              <w:t>2.大力弘扬宪法精神，维护宪法权威，推动宪法精神进基层，使宪法走入日常生活，走进人民群众心中。</w:t>
            </w:r>
            <w:r>
              <w:rPr>
                <w:rFonts w:hint="eastAsia" w:ascii="仿宋_GB2312" w:hAnsi="仿宋_GB2312" w:eastAsia="仿宋_GB2312" w:cs="仿宋_GB2312"/>
                <w:b w:val="0"/>
                <w:bCs w:val="0"/>
                <w:kern w:val="2"/>
                <w:sz w:val="21"/>
                <w:szCs w:val="21"/>
                <w:vertAlign w:val="baseline"/>
                <w:lang w:val="en-US" w:eastAsia="zh-CN" w:bidi="ar-SA"/>
              </w:rPr>
              <w:tab/>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各科、室、队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4</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中国特色社会主义法律体系</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《民法典》《行政处罚法》《行政强制法》《行政诉讼法》《行政复议法》《保密法》等法律法规</w:t>
            </w: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1.开展会前学法，每次全局大会时安排一次法律、法规学习。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2.在“4.15”国家安全日、“民法典”宣传月、安全生产月、保密宣传月、民族团结月等重要时间节点开展普法学习宣传。</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3.组织专题培训，由局法规科牵头，确定学习主题和重点，不定期邀请法律顾问等相关专业人员开展行政执法理论培训。</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4.将普法宣传工作纳入效能考核，作为评先选优、选拔任用干部重要依据。</w:t>
            </w:r>
          </w:p>
        </w:tc>
        <w:tc>
          <w:tcPr>
            <w:tcW w:w="38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1.制定</w:t>
            </w:r>
            <w:r>
              <w:rPr>
                <w:rFonts w:hint="eastAsia" w:ascii="仿宋_GB2312" w:hAnsi="仿宋_GB2312" w:eastAsia="仿宋_GB2312" w:cs="仿宋_GB2312"/>
                <w:b w:val="0"/>
                <w:bCs w:val="0"/>
                <w:sz w:val="21"/>
                <w:szCs w:val="21"/>
                <w:vertAlign w:val="baseline"/>
                <w:lang w:eastAsia="zh-CN"/>
              </w:rPr>
              <w:t>学习计划，明确学习任务，保证学习时间和效果。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2</w:t>
            </w:r>
            <w:r>
              <w:rPr>
                <w:rFonts w:hint="eastAsia" w:ascii="仿宋_GB2312" w:hAnsi="仿宋_GB2312" w:eastAsia="仿宋_GB2312" w:cs="仿宋_GB2312"/>
                <w:b w:val="0"/>
                <w:bCs w:val="0"/>
                <w:sz w:val="21"/>
                <w:szCs w:val="21"/>
                <w:vertAlign w:val="baseline"/>
                <w:lang w:eastAsia="zh-CN"/>
              </w:rPr>
              <w:t>.积极利用法律宣传日、宣传周、宣传月等载体开展法治宣传活动。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3</w:t>
            </w:r>
            <w:r>
              <w:rPr>
                <w:rFonts w:hint="eastAsia" w:ascii="仿宋_GB2312" w:hAnsi="仿宋_GB2312" w:eastAsia="仿宋_GB2312" w:cs="仿宋_GB2312"/>
                <w:b w:val="0"/>
                <w:bCs w:val="0"/>
                <w:sz w:val="21"/>
                <w:szCs w:val="21"/>
                <w:vertAlign w:val="baseline"/>
                <w:lang w:eastAsia="zh-CN"/>
              </w:rPr>
              <w:t>.国家工作人员参加无纸化学法用法考试，参学率、通过率达100%。</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各科、室、队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5</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党内法规</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eastAsia="zh-CN"/>
              </w:rPr>
              <w:t>《党章》《中国共产党党内监督条例》《中国共产党纪律处分条例》《中国共产党问责条例》《中国共产党党员权利保障条例》《中国共产党廉洁自律准则》《关于新形势下党内政治生活的若干准则》等党内法规</w:t>
            </w: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1.把重要党内法规列为党组理论学习中心组学习的重要内容，以党章、准则、条例等为重点。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2.把学习党内法规作为“三会一课”内容。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3.持续开展反腐倡廉典型案例宣传活动，发挥正面典型倡导和反面案例警示作用。</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1.注重党内法规宣传同国家法律宣传的衔接协调。</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2.注重用身边事例、现身说法，切实增强党内法规学习宣传感染力和实效性。</w:t>
            </w: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各科、室、队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5"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6</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与业务相关的法律法规规章</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1"/>
                <w:szCs w:val="21"/>
                <w:vertAlign w:val="baseline"/>
                <w:lang w:val="en-US" w:eastAsia="zh-CN"/>
                <w14:textFill>
                  <w14:solidFill>
                    <w14:schemeClr w14:val="tx1"/>
                  </w14:solidFill>
                </w14:textFill>
              </w:rPr>
              <w:t>与燃气管理、供水供热、市政设施、市容市貌、以及城市管理相关的法律法规</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1.采取自主学习、讲师授课、知识竞赛、外派轮岗、庭审旁听、案卷评查等多种方式相结合的培训形式，培养执法人员依法行政意识，提升执法队伍依法行政能力和水平。</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2.组织“半日学法”，由执法人员分享典型案例，提高办案水平。</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3.组织法制工作会，通报各执法中队案卷评查情况，指出各执法中队在执法过程中存在问题并提出改进要求，为下一步执法工作提供明确方向。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4.组织执法评比，营造执法新风气，从各执法中队行政执法岗位上通过各项量化评比择优评选业务素质高、执法能力强、敬业精神好、案件办理成绩突出的年度“十佳行政执法人员”。</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1.将普法工作纳入工作全局，与业务工作同部署、同落实。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把普法融入日常执法，把执法现场变成普法第一现场。结合我局文明养犬、校园周边反诈、燃气管理等与综合执法相关的工作开展法律法规宣传活动，组织执法人员深入社区（村）、商户、集市、机关企事业单位等，以悬挂宣传横幅、发放宣传手册、摆放普法宣传板等形式开展宣传活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3.学法、普法活动有记录、有资料。</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各科、室、队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7</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与业务相关的法律法规规章</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val="en-US" w:eastAsia="zh-CN"/>
              </w:rPr>
              <w:t>《</w:t>
            </w:r>
            <w:r>
              <w:rPr>
                <w:rFonts w:hint="eastAsia" w:ascii="仿宋_GB2312" w:hAnsi="仿宋_GB2312" w:eastAsia="仿宋_GB2312" w:cs="仿宋_GB2312"/>
                <w:b w:val="0"/>
                <w:bCs w:val="0"/>
                <w:sz w:val="21"/>
                <w:szCs w:val="21"/>
                <w:vertAlign w:val="baseline"/>
                <w:lang w:eastAsia="zh-CN"/>
              </w:rPr>
              <w:t>银川市行政执法公示办法》</w:t>
            </w:r>
            <w:r>
              <w:rPr>
                <w:rFonts w:hint="eastAsia" w:ascii="仿宋_GB2312" w:hAnsi="仿宋_GB2312" w:eastAsia="仿宋_GB2312" w:cs="仿宋_GB2312"/>
                <w:b w:val="0"/>
                <w:bCs w:val="0"/>
                <w:sz w:val="21"/>
                <w:szCs w:val="21"/>
                <w:vertAlign w:val="baseline"/>
                <w:lang w:val="en-US" w:eastAsia="zh-CN"/>
              </w:rPr>
              <w:t>《银川市行政执法全过程记录办法》、《银川市重大行政执法决定法制审核办法》等与</w:t>
            </w:r>
            <w:r>
              <w:rPr>
                <w:rFonts w:hint="eastAsia" w:ascii="仿宋_GB2312" w:hAnsi="仿宋_GB2312" w:eastAsia="仿宋_GB2312" w:cs="仿宋_GB2312"/>
                <w:b w:val="0"/>
                <w:bCs w:val="0"/>
                <w:sz w:val="21"/>
                <w:szCs w:val="21"/>
                <w:vertAlign w:val="baseline"/>
                <w:lang w:eastAsia="zh-CN"/>
              </w:rPr>
              <w:t>执法规范有关的法律法规规章</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jc w:val="left"/>
              <w:rPr>
                <w:rFonts w:hint="default"/>
                <w:lang w:val="en-US" w:eastAsia="zh-CN"/>
              </w:rPr>
            </w:pP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1.采取自主学习、讲师授课、知识竞赛、外派轮岗、庭审旁听、案卷评查等多种方式相结合的培训形式，培养执法人员依法行政意识，提升执法队伍依法行政能力和水平。</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2.组织“半日学法”，由执法人员分享典型案例，提高办案水平。</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3.组织法制工作会，通报各执法中队案卷评查情况，指出各执法中队在执法过程中存在问题并提出改进要求，为下一步执法工作提供明确方向。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4.组织执法评比，营造执法新风气，从各执法中队行政执法岗位上通过各项量化评比择优评选业务素质高、执法能力强、敬业精神好、案件办理成绩突出的年度“十佳行政执法人员”。</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1.将普法工作纳入工作全局，与业务工作同部署、同落实。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把普法融入日常执法，把执法现场变成普法第一现场。结合我局文明养犬、校园周边反诈、燃气管理等与综合执法相关的工作开展法律法规宣传活动，组织执法人员深入社区（村）、商户、集市、机关企事业单位等，以悬挂宣传横幅、发放宣传手册、摆放普法宣传板等形式开展宣传活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3.学法、普法活动有记录、有资料。</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各科、室、队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0" w:hRule="atLeast"/>
        </w:trPr>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8</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与业务相关的法律法规规章</w:t>
            </w:r>
          </w:p>
        </w:tc>
        <w:tc>
          <w:tcPr>
            <w:tcW w:w="171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执法文书制作、执法程序等方面的普法和学习</w:t>
            </w:r>
          </w:p>
        </w:tc>
        <w:tc>
          <w:tcPr>
            <w:tcW w:w="435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1.采取自主学习、讲师授课、知识竞赛、外派轮岗、庭审旁听、案卷评查等多种方式相结合的培训形式，培养执法人员依法行政意识，提升执法队伍依法行政能力和水平。</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2.组织“半日学法”，由执法</w:t>
            </w:r>
            <w:bookmarkStart w:id="0" w:name="_GoBack"/>
            <w:bookmarkEnd w:id="0"/>
            <w:r>
              <w:rPr>
                <w:rFonts w:hint="eastAsia" w:ascii="仿宋_GB2312" w:hAnsi="仿宋_GB2312" w:eastAsia="仿宋_GB2312" w:cs="仿宋_GB2312"/>
                <w:b w:val="0"/>
                <w:bCs w:val="0"/>
                <w:kern w:val="2"/>
                <w:sz w:val="21"/>
                <w:szCs w:val="21"/>
                <w:vertAlign w:val="baseline"/>
                <w:lang w:val="en-US" w:eastAsia="zh-CN" w:bidi="ar-SA"/>
              </w:rPr>
              <w:t>人员分享典型案例，提高办案水平。</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3.组织法制工作会，通报各执法中队案卷评查情况，指出各执法中队在执法过程中存在问题并提出改进要求，为下一步执法工作提供明确方向。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4.组织执法评比，营造执法新风气，从各执法中队行政执法岗位上通过各项量化评比择优评选业务素质高、执法能力强、敬业精神好、案件办理成绩突出的年度“十佳行政执法人员”。</w:t>
            </w:r>
          </w:p>
        </w:tc>
        <w:tc>
          <w:tcPr>
            <w:tcW w:w="3827"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1.将普法工作纳入工作全局，与业务工作同部署、同落实。</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把普法融入日常执法，把执法现场变成普法第一现场。结合我局文明养犬、校园周边反诈、燃气管理等与综合执法相关的工作开展法律法规宣传活动，组织执法人员深入社区（村）、商户、集市、机关企事业单位等，以悬挂宣传横幅、发放宣传手册、摆放普法宣传板等形式开展宣传活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3.学法、普法活动有记录、有资料。</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val="en-US" w:eastAsia="zh-CN"/>
              </w:rPr>
            </w:pPr>
          </w:p>
        </w:tc>
        <w:tc>
          <w:tcPr>
            <w:tcW w:w="22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各科、室、队</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全体干部职工；社会公众</w:t>
            </w:r>
          </w:p>
        </w:tc>
      </w:tr>
    </w:tbl>
    <w:p>
      <w:pPr>
        <w:jc w:val="both"/>
        <w:rPr>
          <w:rFonts w:hint="eastAsia" w:asciiTheme="minorEastAsia" w:hAnsiTheme="minorEastAsia" w:eastAsiaTheme="minorEastAsia" w:cstheme="minorEastAsia"/>
          <w:b w:val="0"/>
          <w:bCs w:val="0"/>
          <w:sz w:val="24"/>
          <w:szCs w:val="24"/>
        </w:rPr>
      </w:pPr>
    </w:p>
    <w:p>
      <w:pPr>
        <w:jc w:val="both"/>
        <w:rPr>
          <w:rFonts w:hint="eastAsia" w:ascii="仿宋_GB2312" w:hAnsi="仿宋_GB2312" w:eastAsia="仿宋_GB2312" w:cs="仿宋_GB2312"/>
          <w:sz w:val="24"/>
          <w:szCs w:val="24"/>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mZlMTAxODFlNDc3MmM5NzFiMzFjYjg5MDY0OTcifQ=="/>
  </w:docVars>
  <w:rsids>
    <w:rsidRoot w:val="6BA34D12"/>
    <w:rsid w:val="069B7C33"/>
    <w:rsid w:val="08962886"/>
    <w:rsid w:val="0BB07473"/>
    <w:rsid w:val="12B1452C"/>
    <w:rsid w:val="148D505F"/>
    <w:rsid w:val="1804388A"/>
    <w:rsid w:val="1DE01381"/>
    <w:rsid w:val="1F721A21"/>
    <w:rsid w:val="22066450"/>
    <w:rsid w:val="25284930"/>
    <w:rsid w:val="264659B5"/>
    <w:rsid w:val="26E6447A"/>
    <w:rsid w:val="273E043A"/>
    <w:rsid w:val="2D940DB4"/>
    <w:rsid w:val="2E580034"/>
    <w:rsid w:val="2F1E6340"/>
    <w:rsid w:val="39F50E2C"/>
    <w:rsid w:val="3C2D2B00"/>
    <w:rsid w:val="3EF47905"/>
    <w:rsid w:val="40CB0B39"/>
    <w:rsid w:val="43A96276"/>
    <w:rsid w:val="4A325785"/>
    <w:rsid w:val="55B17EA6"/>
    <w:rsid w:val="5677002D"/>
    <w:rsid w:val="635B6572"/>
    <w:rsid w:val="64E060B2"/>
    <w:rsid w:val="65257F68"/>
    <w:rsid w:val="69362744"/>
    <w:rsid w:val="6BA34D12"/>
    <w:rsid w:val="6CA83959"/>
    <w:rsid w:val="6CC024A5"/>
    <w:rsid w:val="6D2F7BD6"/>
    <w:rsid w:val="764B7A43"/>
    <w:rsid w:val="7BB5399C"/>
    <w:rsid w:val="7C947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next w:val="1"/>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样式 首行缩进:  2 字符"/>
    <w:basedOn w:val="1"/>
    <w:autoRedefine/>
    <w:qFormat/>
    <w:uiPriority w:val="0"/>
    <w:pPr>
      <w:widowControl/>
      <w:spacing w:line="360" w:lineRule="auto"/>
      <w:ind w:firstLine="480" w:firstLineChars="200"/>
    </w:pPr>
    <w:rPr>
      <w:rFonts w:ascii="Arial" w:hAnsi="Arial" w:cs="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4669</Words>
  <Characters>4749</Characters>
  <Lines>0</Lines>
  <Paragraphs>0</Paragraphs>
  <TotalTime>5</TotalTime>
  <ScaleCrop>false</ScaleCrop>
  <LinksUpToDate>false</LinksUpToDate>
  <CharactersWithSpaces>4750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2019-11-01T02:38:00Z</dcterms:created>
  <dc:creator>秋风徐徐</dc:creator>
  <cp:lastModifiedBy>Administrator</cp:lastModifiedBy>
  <cp:lastPrinted>2024-05-06T06:47:02Z</cp:lastPrinted>
  <dcterms:modified xsi:type="dcterms:W3CDTF">2024-05-06T06:52:43Z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5DEA694EB8B34BFB8C81F0E8F4D2B707_13</vt:lpwstr>
  </property>
</Properties>
</file>