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  <w:t>专职人民调解员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  <w:t>个人资历评价量化评分表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姓名：</w:t>
      </w:r>
      <w:r>
        <w:rPr>
          <w:rFonts w:ascii="仿宋" w:hAnsi="仿宋" w:eastAsia="仿宋"/>
          <w:color w:val="auto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报考职位：</w:t>
      </w:r>
    </w:p>
    <w:tbl>
      <w:tblPr>
        <w:tblStyle w:val="3"/>
        <w:tblpPr w:leftFromText="180" w:rightFromText="180" w:vertAnchor="text" w:horzAnchor="page" w:tblpX="1427" w:tblpY="132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365"/>
        <w:gridCol w:w="3675"/>
        <w:gridCol w:w="870"/>
        <w:gridCol w:w="1080"/>
        <w:gridCol w:w="112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评价要素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8"/>
                <w:szCs w:val="28"/>
              </w:rPr>
              <w:t>（100分）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要   素   项   目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个人自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评得分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组织评定得分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要素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（25分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不累计）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全日制大学学历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全日制大专学历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中专（高中）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任专职人民调解员资历（30分不累计）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原任法官或原任检察官，律师、仲裁员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任专职人民调解员、基层法律服务工作者或具有相关领域专业知识的人员2年以上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任专职人民调解员、基层法律服务工作者或具有相关领域专业知识的人员1年以上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村、社区任职工作经历（15分不累计）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担任村社区干部5年以上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担任村社区干部2年—5年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担任村社区干部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案卷制作情况（10分不累计）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获奖情况（20分不累计）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省级以上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市县级以上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市县级以下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资历评价组织评定意见及得分总计</w:t>
            </w:r>
          </w:p>
        </w:tc>
        <w:tc>
          <w:tcPr>
            <w:tcW w:w="4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组织评定意见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得分总计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年  月  日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审核人签字：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05A30"/>
    <w:rsid w:val="5CA0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2020-05-08T03:25:00Z</dcterms:created>
  <dc:creator>sc</dc:creator>
  <cp:lastModifiedBy>sc</cp:lastModifiedBy>
  <dcterms:modified xsi:type="dcterms:W3CDTF">2020-05-08T03:25:45Z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